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08919" w14:textId="618721C8" w:rsidR="00325E01" w:rsidRPr="00325E01" w:rsidRDefault="00325E01" w:rsidP="00325E01">
      <w:pPr>
        <w:pStyle w:val="Header"/>
        <w:tabs>
          <w:tab w:val="right" w:pos="9781"/>
        </w:tabs>
        <w:rPr>
          <w:rFonts w:ascii="Arial" w:hAnsi="Arial" w:cs="Arial"/>
          <w:b/>
          <w:bCs/>
          <w:sz w:val="28"/>
          <w:szCs w:val="28"/>
        </w:rPr>
      </w:pPr>
      <w:bookmarkStart w:id="0" w:name="_GoBack"/>
      <w:bookmarkEnd w:id="0"/>
      <w:r w:rsidRPr="00325E01">
        <w:rPr>
          <w:rFonts w:ascii="Arial" w:hAnsi="Arial" w:cs="Arial"/>
          <w:b/>
          <w:bCs/>
          <w:sz w:val="28"/>
          <w:szCs w:val="28"/>
        </w:rPr>
        <w:t xml:space="preserve">3GPP TSG RAN WG1 Meeting #97               </w:t>
      </w:r>
      <w:r w:rsidRPr="00325E01">
        <w:rPr>
          <w:rFonts w:ascii="Arial" w:hAnsi="Arial" w:cs="Arial"/>
          <w:b/>
          <w:bCs/>
          <w:sz w:val="28"/>
          <w:szCs w:val="28"/>
        </w:rPr>
        <w:tab/>
      </w:r>
      <w:r>
        <w:rPr>
          <w:rFonts w:ascii="Arial" w:hAnsi="Arial" w:cs="Arial"/>
          <w:b/>
          <w:bCs/>
          <w:sz w:val="28"/>
          <w:szCs w:val="28"/>
        </w:rPr>
        <w:tab/>
      </w:r>
      <w:r w:rsidRPr="00325E01">
        <w:rPr>
          <w:rFonts w:ascii="Arial" w:hAnsi="Arial" w:cs="Arial"/>
          <w:b/>
          <w:bCs/>
          <w:sz w:val="28"/>
          <w:szCs w:val="28"/>
        </w:rPr>
        <w:t>R1-19</w:t>
      </w:r>
      <w:r>
        <w:rPr>
          <w:rFonts w:ascii="Arial" w:hAnsi="Arial" w:cs="Arial"/>
          <w:b/>
          <w:bCs/>
          <w:sz w:val="28"/>
          <w:szCs w:val="28"/>
        </w:rPr>
        <w:t>07</w:t>
      </w:r>
      <w:r w:rsidR="0042261E">
        <w:rPr>
          <w:rFonts w:ascii="Arial" w:hAnsi="Arial" w:cs="Arial"/>
          <w:b/>
          <w:bCs/>
          <w:sz w:val="28"/>
          <w:szCs w:val="28"/>
        </w:rPr>
        <w:t>852</w:t>
      </w:r>
    </w:p>
    <w:p w14:paraId="0FA68C9B" w14:textId="12B87441" w:rsidR="00C53DB7" w:rsidRDefault="00325E01" w:rsidP="00325E01">
      <w:pPr>
        <w:pStyle w:val="Header"/>
        <w:tabs>
          <w:tab w:val="clear" w:pos="4153"/>
          <w:tab w:val="clear" w:pos="8306"/>
          <w:tab w:val="right" w:pos="9781"/>
        </w:tabs>
        <w:rPr>
          <w:rFonts w:ascii="Arial" w:hAnsi="Arial" w:cs="Arial"/>
          <w:b/>
          <w:bCs/>
          <w:sz w:val="22"/>
        </w:rPr>
      </w:pPr>
      <w:r w:rsidRPr="00325E01">
        <w:rPr>
          <w:rFonts w:ascii="Arial" w:hAnsi="Arial" w:cs="Arial"/>
          <w:b/>
          <w:bCs/>
          <w:sz w:val="28"/>
          <w:szCs w:val="28"/>
        </w:rPr>
        <w:t>Reno, NV, USA, May 13th – 17th, 2019</w:t>
      </w:r>
    </w:p>
    <w:p w14:paraId="32FBAA76" w14:textId="77777777" w:rsidR="00325E01" w:rsidRDefault="00325E01" w:rsidP="00B35202">
      <w:pPr>
        <w:spacing w:after="60"/>
        <w:ind w:left="1985" w:hanging="1985"/>
        <w:rPr>
          <w:rFonts w:ascii="Arial" w:hAnsi="Arial" w:cs="Arial"/>
          <w:b/>
        </w:rPr>
      </w:pPr>
    </w:p>
    <w:p w14:paraId="5186F3C4" w14:textId="495091F1" w:rsidR="00463675" w:rsidRPr="00385529" w:rsidRDefault="00463675" w:rsidP="00B35202">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2143D">
        <w:rPr>
          <w:rFonts w:ascii="Arial" w:hAnsi="Arial" w:cs="Arial"/>
          <w:b/>
        </w:rPr>
        <w:t xml:space="preserve">[DRAFT] </w:t>
      </w:r>
      <w:r w:rsidR="00B35202" w:rsidRPr="00B35202">
        <w:rPr>
          <w:rFonts w:ascii="Arial" w:hAnsi="Arial" w:cs="Arial"/>
          <w:bCs/>
        </w:rPr>
        <w:t xml:space="preserve">LS </w:t>
      </w:r>
      <w:r w:rsidR="00B35202">
        <w:rPr>
          <w:rFonts w:ascii="Arial" w:hAnsi="Arial" w:cs="Arial"/>
          <w:bCs/>
        </w:rPr>
        <w:t xml:space="preserve">response </w:t>
      </w:r>
      <w:r w:rsidR="00B35202" w:rsidRPr="00B35202">
        <w:rPr>
          <w:rFonts w:ascii="Arial" w:hAnsi="Arial" w:cs="Arial"/>
          <w:bCs/>
        </w:rPr>
        <w:t>on UL sharing applicability in different scenarios</w:t>
      </w:r>
    </w:p>
    <w:p w14:paraId="4142800B" w14:textId="18348B9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35202" w:rsidRPr="00B35202">
        <w:rPr>
          <w:rFonts w:ascii="Arial" w:hAnsi="Arial" w:cs="Arial"/>
          <w:bCs/>
        </w:rPr>
        <w:t>R1-1904182</w:t>
      </w:r>
      <w:r w:rsidR="00B35202">
        <w:rPr>
          <w:rFonts w:ascii="Arial" w:hAnsi="Arial" w:cs="Arial"/>
          <w:bCs/>
        </w:rPr>
        <w:t>/</w:t>
      </w:r>
      <w:r w:rsidR="00B35202" w:rsidRPr="00B35202">
        <w:rPr>
          <w:rFonts w:ascii="Arial" w:hAnsi="Arial" w:cs="Arial"/>
          <w:bCs/>
        </w:rPr>
        <w:t>R2-1902822 LS on UL sharing applicability in different scenarios</w:t>
      </w:r>
    </w:p>
    <w:p w14:paraId="2F36F7AB" w14:textId="6F1F547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35202">
        <w:rPr>
          <w:rFonts w:ascii="Arial" w:hAnsi="Arial" w:cs="Arial"/>
          <w:bCs/>
        </w:rPr>
        <w:t>5</w:t>
      </w:r>
    </w:p>
    <w:p w14:paraId="6AC83482" w14:textId="4273256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B35202" w:rsidRPr="00B35202">
        <w:rPr>
          <w:rFonts w:ascii="Arial" w:hAnsi="Arial" w:cs="Arial"/>
          <w:bCs/>
          <w:lang w:val="en-US"/>
        </w:rPr>
        <w:t>NR_newRAT</w:t>
      </w:r>
      <w:proofErr w:type="spellEnd"/>
      <w:r w:rsidR="00B35202" w:rsidRPr="00B35202">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4303C22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62143D">
        <w:rPr>
          <w:rFonts w:ascii="Arial" w:hAnsi="Arial" w:cs="Arial"/>
          <w:bCs/>
        </w:rPr>
        <w:t>Nokia [RAN1]</w:t>
      </w:r>
    </w:p>
    <w:p w14:paraId="706E9330" w14:textId="2508037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62143D">
        <w:rPr>
          <w:rFonts w:ascii="Arial" w:hAnsi="Arial" w:cs="Arial"/>
          <w:bCs/>
        </w:rPr>
        <w:t>To be RAN2</w:t>
      </w:r>
    </w:p>
    <w:p w14:paraId="4EFE95BE" w14:textId="00DA7CCE"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B35202">
        <w:rPr>
          <w:rFonts w:ascii="Arial" w:hAnsi="Arial" w:cs="Arial"/>
          <w:bCs/>
        </w:rPr>
        <w:t>To be RAN4</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A0FCABF" w:rsidR="00463675" w:rsidRPr="00325E01" w:rsidRDefault="00463675">
      <w:pPr>
        <w:pStyle w:val="Heading4"/>
        <w:tabs>
          <w:tab w:val="left" w:pos="2268"/>
        </w:tabs>
        <w:ind w:left="567"/>
        <w:rPr>
          <w:rFonts w:cs="Arial"/>
          <w:b w:val="0"/>
          <w:bCs/>
          <w:lang w:val="fi-FI"/>
        </w:rPr>
      </w:pPr>
      <w:proofErr w:type="spellStart"/>
      <w:r w:rsidRPr="00325E01">
        <w:rPr>
          <w:rFonts w:cs="Arial"/>
          <w:lang w:val="fi-FI"/>
        </w:rPr>
        <w:t>Name</w:t>
      </w:r>
      <w:proofErr w:type="spellEnd"/>
      <w:r w:rsidRPr="00325E01">
        <w:rPr>
          <w:rFonts w:cs="Arial"/>
          <w:lang w:val="fi-FI"/>
        </w:rPr>
        <w:t>:</w:t>
      </w:r>
      <w:r w:rsidRPr="00325E01">
        <w:rPr>
          <w:rFonts w:cs="Arial"/>
          <w:b w:val="0"/>
          <w:bCs/>
          <w:lang w:val="fi-FI"/>
        </w:rPr>
        <w:tab/>
      </w:r>
      <w:r w:rsidR="0062143D" w:rsidRPr="00325E01">
        <w:rPr>
          <w:rFonts w:cs="Arial"/>
          <w:b w:val="0"/>
          <w:bCs/>
          <w:lang w:val="fi-FI"/>
        </w:rPr>
        <w:t>Karri Ranta-aho</w:t>
      </w:r>
    </w:p>
    <w:p w14:paraId="2748A78E" w14:textId="3AE99B58" w:rsidR="00463675" w:rsidRPr="00C53DB7" w:rsidRDefault="00463675">
      <w:pPr>
        <w:pStyle w:val="Heading7"/>
        <w:tabs>
          <w:tab w:val="left" w:pos="2268"/>
        </w:tabs>
        <w:ind w:left="567"/>
        <w:rPr>
          <w:rFonts w:cs="Arial"/>
          <w:b w:val="0"/>
          <w:bCs/>
          <w:lang w:val="fr-FR"/>
        </w:rPr>
      </w:pPr>
      <w:r w:rsidRPr="00C53DB7">
        <w:rPr>
          <w:rFonts w:cs="Arial"/>
          <w:lang w:val="fr-FR"/>
        </w:rPr>
        <w:t xml:space="preserve">E-mail </w:t>
      </w:r>
      <w:proofErr w:type="spellStart"/>
      <w:proofErr w:type="gramStart"/>
      <w:r w:rsidRPr="00C53DB7">
        <w:rPr>
          <w:rFonts w:cs="Arial"/>
          <w:lang w:val="fr-FR"/>
        </w:rPr>
        <w:t>Address</w:t>
      </w:r>
      <w:proofErr w:type="spellEnd"/>
      <w:r w:rsidRPr="00C53DB7">
        <w:rPr>
          <w:rFonts w:cs="Arial"/>
          <w:lang w:val="fr-FR"/>
        </w:rPr>
        <w:t>:</w:t>
      </w:r>
      <w:proofErr w:type="gramEnd"/>
      <w:r w:rsidRPr="00C53DB7">
        <w:rPr>
          <w:rFonts w:cs="Arial"/>
          <w:b w:val="0"/>
          <w:bCs/>
          <w:lang w:val="fr-FR"/>
        </w:rPr>
        <w:tab/>
      </w:r>
      <w:r w:rsidR="0062143D">
        <w:rPr>
          <w:rFonts w:cs="Arial"/>
          <w:b w:val="0"/>
          <w:bCs/>
          <w:lang w:val="fr-FR"/>
        </w:rPr>
        <w:t>karri.ranta-aho</w:t>
      </w:r>
      <w:r w:rsidR="00385529" w:rsidRPr="00C53DB7">
        <w:rPr>
          <w:rFonts w:cs="Arial"/>
          <w:b w:val="0"/>
          <w:bCs/>
          <w:lang w:val="fr-FR"/>
        </w:rPr>
        <w:t>@nokia.com</w:t>
      </w:r>
    </w:p>
    <w:p w14:paraId="2950C5AF" w14:textId="77777777" w:rsidR="00463675" w:rsidRPr="00C53DB7"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C0CCA4C" w14:textId="77777777" w:rsidR="00B35202" w:rsidRDefault="00B35202" w:rsidP="00B35202">
      <w:pPr>
        <w:spacing w:after="120"/>
        <w:jc w:val="both"/>
        <w:rPr>
          <w:lang w:eastAsia="fi-FI"/>
        </w:rPr>
      </w:pPr>
      <w:r>
        <w:rPr>
          <w:lang w:eastAsia="fi-FI"/>
        </w:rPr>
        <w:t>R</w:t>
      </w:r>
      <w:r w:rsidRPr="005041F6">
        <w:rPr>
          <w:lang w:eastAsia="fi-FI"/>
        </w:rPr>
        <w:t>AN2 respectfully ask</w:t>
      </w:r>
      <w:r>
        <w:rPr>
          <w:lang w:eastAsia="fi-FI"/>
        </w:rPr>
        <w:t>ed</w:t>
      </w:r>
      <w:r w:rsidRPr="005041F6">
        <w:rPr>
          <w:lang w:eastAsia="fi-FI"/>
        </w:rPr>
        <w:t xml:space="preserve"> RAN1 </w:t>
      </w:r>
      <w:r>
        <w:rPr>
          <w:lang w:eastAsia="fi-FI"/>
        </w:rPr>
        <w:t>the following 4 questions, and draft answers are provided for each</w:t>
      </w:r>
      <w:r w:rsidRPr="005041F6">
        <w:rPr>
          <w:lang w:eastAsia="fi-FI"/>
        </w:rPr>
        <w:t xml:space="preserve"> question:</w:t>
      </w:r>
    </w:p>
    <w:p w14:paraId="11B9B063" w14:textId="77777777" w:rsidR="00B35202" w:rsidRPr="005041F6" w:rsidRDefault="00B35202" w:rsidP="00B35202">
      <w:pPr>
        <w:spacing w:after="120"/>
        <w:jc w:val="both"/>
        <w:rPr>
          <w:lang w:eastAsia="fi-FI"/>
        </w:rPr>
      </w:pPr>
    </w:p>
    <w:p w14:paraId="1BB0734D" w14:textId="77777777" w:rsidR="00B35202" w:rsidRPr="005041F6" w:rsidRDefault="00B35202" w:rsidP="00B35202">
      <w:pPr>
        <w:spacing w:after="120"/>
        <w:ind w:left="426" w:hanging="426"/>
        <w:jc w:val="both"/>
        <w:rPr>
          <w:b/>
          <w:lang w:eastAsia="fi-FI"/>
        </w:rPr>
      </w:pPr>
      <w:r w:rsidRPr="005041F6">
        <w:rPr>
          <w:b/>
          <w:lang w:eastAsia="fi-FI"/>
        </w:rPr>
        <w:t>1.</w:t>
      </w:r>
      <w:r w:rsidRPr="005041F6">
        <w:rPr>
          <w:b/>
          <w:lang w:eastAsia="fi-FI"/>
        </w:rPr>
        <w:tab/>
        <w:t>Is the shared E-UTRA-NR FDD carrier supported in RAN1, i.e. the case where both FDD DL carrier and FDD UL carrier are shared from UE perspective by E-UTRA and NR?</w:t>
      </w:r>
    </w:p>
    <w:p w14:paraId="21DF3586" w14:textId="77777777" w:rsidR="00FA5496" w:rsidRDefault="00FA5496" w:rsidP="00FA5496">
      <w:pPr>
        <w:ind w:left="426"/>
        <w:rPr>
          <w:rFonts w:eastAsia="Yu Mincho"/>
          <w:lang w:eastAsia="ja-JP"/>
        </w:rPr>
      </w:pPr>
      <w:r>
        <w:rPr>
          <w:rFonts w:eastAsia="Yu Mincho"/>
          <w:lang w:eastAsia="ja-JP"/>
        </w:rPr>
        <w:t xml:space="preserve">RAN1 supports spectrum sharing between E-UTRA and NR downlink carriers from the network perspective, and spectrum sharing between E-UTRA and NR uplink carriers from the network and from the UE perspective. According to the RAN decisions (see Annex), RAN1 was not tasked to consider DL sharing from the UE perspective. Thus, RAN1 did not discuss the possible specification impacts and the required UE capabilities for DL sharing from the UE perspective during the Rel-15 work. During RAN1#97 discussions there was no additional consensus on </w:t>
      </w:r>
      <w:proofErr w:type="gramStart"/>
      <w:r>
        <w:rPr>
          <w:rFonts w:eastAsia="Yu Mincho"/>
          <w:lang w:eastAsia="ja-JP"/>
        </w:rPr>
        <w:t>whether or not</w:t>
      </w:r>
      <w:proofErr w:type="gramEnd"/>
      <w:r>
        <w:rPr>
          <w:rFonts w:eastAsia="Yu Mincho"/>
          <w:lang w:eastAsia="ja-JP"/>
        </w:rPr>
        <w:t xml:space="preserve"> the DL sharing design defined in RAN1 is transparent to whether or not the sharing can also be from the UE perspective.</w:t>
      </w:r>
    </w:p>
    <w:p w14:paraId="5C858EEB" w14:textId="77777777" w:rsidR="00B35202" w:rsidRPr="00B35202" w:rsidRDefault="00B35202" w:rsidP="00B35202">
      <w:pPr>
        <w:spacing w:after="120"/>
        <w:jc w:val="both"/>
        <w:rPr>
          <w:lang w:val="en-US" w:eastAsia="fi-FI"/>
        </w:rPr>
      </w:pPr>
    </w:p>
    <w:p w14:paraId="5ACD6890" w14:textId="77777777" w:rsidR="00B35202" w:rsidRPr="005041F6" w:rsidRDefault="00B35202" w:rsidP="00B35202">
      <w:pPr>
        <w:spacing w:after="120"/>
        <w:ind w:left="426" w:hanging="426"/>
        <w:jc w:val="both"/>
        <w:rPr>
          <w:b/>
          <w:lang w:eastAsia="fi-FI"/>
        </w:rPr>
      </w:pPr>
      <w:r w:rsidRPr="005041F6">
        <w:rPr>
          <w:b/>
          <w:lang w:eastAsia="fi-FI"/>
        </w:rPr>
        <w:t>2.</w:t>
      </w:r>
      <w:r w:rsidRPr="005041F6">
        <w:rPr>
          <w:b/>
          <w:lang w:eastAsia="fi-FI"/>
        </w:rPr>
        <w:tab/>
        <w:t xml:space="preserve">Does the UL sharing from UE perspective (as indicated by the UL sharing capability) need to be supported together with any DL sharing capabilities that are required the shared E-UTRA-NR FDD carrier case? </w:t>
      </w:r>
    </w:p>
    <w:p w14:paraId="6AAF809D" w14:textId="1F0FC612" w:rsidR="00FA5496" w:rsidRDefault="00FA5496" w:rsidP="00FA5496">
      <w:pPr>
        <w:numPr>
          <w:ilvl w:val="0"/>
          <w:numId w:val="20"/>
        </w:numPr>
        <w:ind w:left="851"/>
        <w:rPr>
          <w:rFonts w:eastAsia="Yu Mincho"/>
          <w:lang w:eastAsia="ja-JP"/>
        </w:rPr>
      </w:pPr>
      <w:r>
        <w:rPr>
          <w:rFonts w:eastAsia="Yu Mincho"/>
          <w:lang w:eastAsia="ja-JP"/>
        </w:rPr>
        <w:t xml:space="preserve">If the UL sharing from the UE perspective is supported on the EN-DC band combinations with SUL, as RAN#79 originally tasked RAN4 [RP-180560], no DL sharing from the UE perspective is needed. </w:t>
      </w:r>
    </w:p>
    <w:p w14:paraId="69E5FC5F" w14:textId="77777777" w:rsidR="00FA5496" w:rsidRDefault="00FA5496" w:rsidP="00FA5496">
      <w:pPr>
        <w:numPr>
          <w:ilvl w:val="0"/>
          <w:numId w:val="20"/>
        </w:numPr>
        <w:ind w:left="851"/>
        <w:rPr>
          <w:rFonts w:eastAsia="Yu Mincho"/>
          <w:lang w:eastAsia="ja-JP"/>
        </w:rPr>
      </w:pPr>
      <w:r>
        <w:rPr>
          <w:rFonts w:eastAsia="Yu Mincho"/>
          <w:lang w:eastAsia="ja-JP"/>
        </w:rPr>
        <w:t>If the UL sharing from the UE perspective were to be supported on the EN-DC band combinations, and if the LTE FDD and NR FDD DL and UL carriers were to be organized so that the DL carriers do not overlap but the UL carriers do, no DL sharing from UE perspective is needed.</w:t>
      </w:r>
    </w:p>
    <w:p w14:paraId="370FB396" w14:textId="77777777" w:rsidR="00FA5496" w:rsidRDefault="00FA5496" w:rsidP="00FA5496">
      <w:pPr>
        <w:numPr>
          <w:ilvl w:val="0"/>
          <w:numId w:val="20"/>
        </w:numPr>
        <w:ind w:left="851"/>
        <w:rPr>
          <w:rFonts w:eastAsia="Yu Mincho"/>
          <w:lang w:val="en-US" w:eastAsia="ja-JP"/>
        </w:rPr>
      </w:pPr>
      <w:r>
        <w:rPr>
          <w:rFonts w:eastAsia="Yu Mincho"/>
          <w:lang w:val="en-US" w:eastAsia="ja-JP"/>
        </w:rPr>
        <w:t xml:space="preserve">If DL sharing from the UE perspective were to be supported, and if the UE was not configured with the corresponding UL carrier (i.e. DL </w:t>
      </w:r>
      <w:proofErr w:type="spellStart"/>
      <w:r>
        <w:rPr>
          <w:rFonts w:eastAsia="Yu Mincho"/>
          <w:lang w:val="en-US" w:eastAsia="ja-JP"/>
        </w:rPr>
        <w:t>SCell</w:t>
      </w:r>
      <w:proofErr w:type="spellEnd"/>
      <w:r>
        <w:rPr>
          <w:rFonts w:eastAsia="Yu Mincho"/>
          <w:lang w:val="en-US" w:eastAsia="ja-JP"/>
        </w:rPr>
        <w:t xml:space="preserve"> without corresponding UL), no UL sharing from the UE perspective is needed.</w:t>
      </w:r>
    </w:p>
    <w:p w14:paraId="70694A9F" w14:textId="77777777" w:rsidR="00FA5496" w:rsidRDefault="00FA5496" w:rsidP="00FA5496">
      <w:pPr>
        <w:numPr>
          <w:ilvl w:val="0"/>
          <w:numId w:val="20"/>
        </w:numPr>
        <w:ind w:left="851"/>
        <w:rPr>
          <w:rFonts w:eastAsia="Yu Mincho"/>
          <w:lang w:eastAsia="ja-JP"/>
        </w:rPr>
      </w:pPr>
      <w:r>
        <w:rPr>
          <w:rFonts w:eastAsia="Yu Mincho"/>
          <w:lang w:eastAsia="ja-JP"/>
        </w:rPr>
        <w:t>If the LTE FDD and NR FDD DL and UL carriers were to be organized so that the UL carriers do not overlap, but the DL carriers do, no UL sharing from the UE perspective is needed.</w:t>
      </w:r>
    </w:p>
    <w:p w14:paraId="57C9B0A7" w14:textId="77777777" w:rsidR="008B7DB0" w:rsidRPr="00FA5496" w:rsidRDefault="008B7DB0" w:rsidP="00FA5496">
      <w:pPr>
        <w:spacing w:after="120"/>
        <w:ind w:left="851"/>
        <w:rPr>
          <w:lang w:eastAsia="fi-FI"/>
        </w:rPr>
      </w:pPr>
    </w:p>
    <w:p w14:paraId="4F9AC826" w14:textId="77777777" w:rsidR="00B35202" w:rsidRPr="008B7DB0" w:rsidRDefault="00B35202" w:rsidP="00B35202">
      <w:pPr>
        <w:spacing w:after="120"/>
        <w:ind w:left="426" w:hanging="426"/>
        <w:jc w:val="both"/>
        <w:rPr>
          <w:b/>
          <w:lang w:eastAsia="fi-FI"/>
        </w:rPr>
      </w:pPr>
      <w:r w:rsidRPr="008B7DB0">
        <w:rPr>
          <w:b/>
          <w:lang w:eastAsia="fi-FI"/>
        </w:rPr>
        <w:t>4.</w:t>
      </w:r>
      <w:r w:rsidRPr="008B7DB0">
        <w:rPr>
          <w:b/>
          <w:lang w:eastAsia="fi-FI"/>
        </w:rPr>
        <w:tab/>
        <w:t xml:space="preserve">Which of the rate matching mechanisms defined in RAN1 specifications were designed to be used to accomplish the DL sharing between E-UTRA FDD and NR FDD carriers? </w:t>
      </w:r>
    </w:p>
    <w:p w14:paraId="02F23517" w14:textId="4DBEC628" w:rsidR="00B35202" w:rsidRDefault="00FA5496" w:rsidP="00FA5496">
      <w:pPr>
        <w:pStyle w:val="Header"/>
        <w:tabs>
          <w:tab w:val="clear" w:pos="4153"/>
          <w:tab w:val="clear" w:pos="8306"/>
        </w:tabs>
        <w:spacing w:after="120"/>
        <w:ind w:left="426"/>
        <w:rPr>
          <w:rFonts w:ascii="Arial" w:hAnsi="Arial" w:cs="Arial"/>
          <w:lang w:val="en-US"/>
        </w:rPr>
      </w:pPr>
      <w:r>
        <w:rPr>
          <w:rFonts w:eastAsia="Yu Mincho"/>
          <w:lang w:eastAsia="ja-JP"/>
        </w:rPr>
        <w:t>Following the RAN decision, rate matching mechanisms were introduced for DL sharing from the network perspective. These include: CRS rate matching (</w:t>
      </w:r>
      <w:proofErr w:type="spellStart"/>
      <w:r>
        <w:rPr>
          <w:rFonts w:eastAsia="Yu Mincho"/>
          <w:i/>
          <w:lang w:eastAsia="ja-JP"/>
        </w:rPr>
        <w:t>rateMatchingLTE</w:t>
      </w:r>
      <w:proofErr w:type="spellEnd"/>
      <w:r>
        <w:rPr>
          <w:rFonts w:eastAsia="Yu Mincho"/>
          <w:i/>
          <w:lang w:eastAsia="ja-JP"/>
        </w:rPr>
        <w:t>-CRS</w:t>
      </w:r>
      <w:r>
        <w:rPr>
          <w:rFonts w:eastAsia="Yu Mincho"/>
          <w:lang w:eastAsia="ja-JP"/>
        </w:rPr>
        <w:t xml:space="preserve">), </w:t>
      </w:r>
      <w:proofErr w:type="gramStart"/>
      <w:r>
        <w:rPr>
          <w:rFonts w:eastAsia="Yu Mincho"/>
          <w:lang w:eastAsia="ja-JP"/>
        </w:rPr>
        <w:t>bitmap based</w:t>
      </w:r>
      <w:proofErr w:type="gramEnd"/>
      <w:r>
        <w:rPr>
          <w:rFonts w:eastAsia="Yu Mincho"/>
          <w:lang w:eastAsia="ja-JP"/>
        </w:rPr>
        <w:t xml:space="preserve"> rate matching (</w:t>
      </w:r>
      <w:proofErr w:type="spellStart"/>
      <w:r>
        <w:rPr>
          <w:rFonts w:eastAsia="Yu Mincho"/>
          <w:i/>
          <w:lang w:eastAsia="ja-JP"/>
        </w:rPr>
        <w:t>rateMatchingResrcSetDynamic</w:t>
      </w:r>
      <w:proofErr w:type="spellEnd"/>
      <w:r>
        <w:rPr>
          <w:rFonts w:eastAsia="Yu Mincho"/>
          <w:lang w:eastAsia="ja-JP"/>
        </w:rPr>
        <w:t xml:space="preserve"> and </w:t>
      </w:r>
      <w:proofErr w:type="spellStart"/>
      <w:r>
        <w:rPr>
          <w:rFonts w:eastAsia="Yu Mincho"/>
          <w:i/>
          <w:lang w:eastAsia="ja-JP"/>
        </w:rPr>
        <w:t>rateMatchingResrcSetSemi</w:t>
      </w:r>
      <w:proofErr w:type="spellEnd"/>
      <w:r>
        <w:rPr>
          <w:rFonts w:eastAsia="Yu Mincho"/>
          <w:i/>
          <w:lang w:eastAsia="ja-JP"/>
        </w:rPr>
        <w:t>-Static</w:t>
      </w:r>
      <w:r>
        <w:rPr>
          <w:rFonts w:eastAsia="Yu Mincho"/>
          <w:lang w:eastAsia="ja-JP"/>
        </w:rPr>
        <w:t>), and an optional capability (</w:t>
      </w:r>
      <w:proofErr w:type="spellStart"/>
      <w:r>
        <w:rPr>
          <w:rFonts w:eastAsia="Yu Mincho"/>
          <w:i/>
          <w:lang w:eastAsia="ja-JP"/>
        </w:rPr>
        <w:t>additionalDMRS</w:t>
      </w:r>
      <w:proofErr w:type="spellEnd"/>
      <w:r>
        <w:rPr>
          <w:rFonts w:eastAsia="Yu Mincho"/>
          <w:i/>
          <w:lang w:eastAsia="ja-JP"/>
        </w:rPr>
        <w:t>-DL-Alt</w:t>
      </w:r>
      <w:r>
        <w:rPr>
          <w:rFonts w:eastAsia="Yu Mincho"/>
          <w:lang w:eastAsia="ja-JP"/>
        </w:rPr>
        <w:t>) that introduces an alternative position for the additional DL DMRS symbol in order to avoid collision with LTE CRS.</w:t>
      </w:r>
    </w:p>
    <w:p w14:paraId="784CC3F9" w14:textId="77777777" w:rsidR="00FA5496" w:rsidRPr="00B35202" w:rsidRDefault="00FA5496"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lastRenderedPageBreak/>
        <w:t>2. Actions:</w:t>
      </w:r>
    </w:p>
    <w:p w14:paraId="27747B2B" w14:textId="1E18B9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62143D">
        <w:rPr>
          <w:rFonts w:ascii="Arial" w:hAnsi="Arial" w:cs="Arial"/>
          <w:b/>
        </w:rPr>
        <w:t>2</w:t>
      </w:r>
      <w:r>
        <w:rPr>
          <w:rFonts w:ascii="Arial" w:hAnsi="Arial" w:cs="Arial"/>
          <w:b/>
        </w:rPr>
        <w:t xml:space="preserve"> group.</w:t>
      </w:r>
    </w:p>
    <w:p w14:paraId="61BB3C70" w14:textId="05133630"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62143D">
        <w:rPr>
          <w:rFonts w:ascii="Arial" w:hAnsi="Arial" w:cs="Arial"/>
        </w:rPr>
        <w:t>1</w:t>
      </w:r>
      <w:r w:rsidR="002A6E4C">
        <w:rPr>
          <w:rFonts w:ascii="Arial" w:hAnsi="Arial" w:cs="Arial"/>
        </w:rPr>
        <w:t xml:space="preserve"> respectfully asks </w:t>
      </w:r>
      <w:r w:rsidR="0065183D">
        <w:rPr>
          <w:rFonts w:ascii="Arial" w:hAnsi="Arial" w:cs="Arial"/>
        </w:rPr>
        <w:t>RAN</w:t>
      </w:r>
      <w:r w:rsidR="0062143D">
        <w:rPr>
          <w:rFonts w:ascii="Arial" w:hAnsi="Arial" w:cs="Arial"/>
        </w:rPr>
        <w:t>2</w:t>
      </w:r>
      <w:r w:rsidR="0065183D">
        <w:rPr>
          <w:rFonts w:ascii="Arial" w:hAnsi="Arial" w:cs="Arial"/>
        </w:rPr>
        <w:t xml:space="preserve"> to </w:t>
      </w:r>
      <w:r w:rsidR="0062143D">
        <w:rPr>
          <w:rFonts w:ascii="Arial" w:hAnsi="Arial" w:cs="Arial"/>
        </w:rPr>
        <w:t xml:space="preserve">take the provided information into account in </w:t>
      </w:r>
      <w:r w:rsidR="00B35202">
        <w:rPr>
          <w:rFonts w:ascii="Arial" w:hAnsi="Arial" w:cs="Arial"/>
        </w:rPr>
        <w:t>their further work</w:t>
      </w:r>
    </w:p>
    <w:p w14:paraId="3FBE9166" w14:textId="77777777" w:rsidR="00E57BA2" w:rsidRDefault="00E57BA2">
      <w:pPr>
        <w:spacing w:after="120"/>
        <w:rPr>
          <w:rFonts w:ascii="Arial" w:hAnsi="Arial" w:cs="Arial"/>
          <w:b/>
        </w:rPr>
      </w:pPr>
    </w:p>
    <w:p w14:paraId="3C2472DD" w14:textId="493BB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62143D">
        <w:rPr>
          <w:rFonts w:ascii="Arial" w:hAnsi="Arial" w:cs="Arial"/>
          <w:b/>
        </w:rPr>
        <w:t>1</w:t>
      </w:r>
      <w:r>
        <w:rPr>
          <w:rFonts w:ascii="Arial" w:hAnsi="Arial" w:cs="Arial"/>
          <w:b/>
        </w:rPr>
        <w:t xml:space="preserve"> Meetings:</w:t>
      </w:r>
    </w:p>
    <w:p w14:paraId="7766ED36" w14:textId="1F82D7E6" w:rsidR="0062143D" w:rsidRDefault="0062143D" w:rsidP="0062143D">
      <w:pPr>
        <w:tabs>
          <w:tab w:val="left" w:pos="3119"/>
        </w:tabs>
        <w:spacing w:after="120"/>
        <w:ind w:left="2268" w:hanging="2268"/>
        <w:rPr>
          <w:rFonts w:ascii="Arial" w:hAnsi="Arial" w:cs="Arial"/>
          <w:bCs/>
        </w:rPr>
      </w:pPr>
      <w:r>
        <w:rPr>
          <w:rFonts w:ascii="Arial" w:hAnsi="Arial" w:cs="Arial"/>
          <w:bCs/>
        </w:rPr>
        <w:t>3GPP RAN1#98</w:t>
      </w:r>
      <w:r>
        <w:rPr>
          <w:rFonts w:ascii="Arial" w:hAnsi="Arial" w:cs="Arial"/>
          <w:bCs/>
        </w:rPr>
        <w:tab/>
      </w:r>
      <w:r>
        <w:rPr>
          <w:rFonts w:ascii="Arial" w:hAnsi="Arial" w:cs="Arial"/>
          <w:bCs/>
        </w:rPr>
        <w:tab/>
        <w:t>26 - 30 August 2019</w:t>
      </w:r>
      <w:r>
        <w:rPr>
          <w:rFonts w:ascii="Arial" w:hAnsi="Arial" w:cs="Arial"/>
          <w:bCs/>
        </w:rPr>
        <w:tab/>
      </w:r>
      <w:r>
        <w:rPr>
          <w:rFonts w:ascii="Arial" w:hAnsi="Arial" w:cs="Arial"/>
          <w:bCs/>
        </w:rPr>
        <w:tab/>
      </w:r>
      <w:r w:rsidR="00C13214">
        <w:rPr>
          <w:rFonts w:ascii="Arial" w:hAnsi="Arial" w:cs="Arial"/>
          <w:bCs/>
        </w:rPr>
        <w:t>Prague, Czech Republic</w:t>
      </w:r>
    </w:p>
    <w:p w14:paraId="7656B4E7" w14:textId="72A77B72" w:rsidR="0062143D" w:rsidRDefault="0062143D" w:rsidP="004D1605">
      <w:pPr>
        <w:tabs>
          <w:tab w:val="left" w:pos="3119"/>
        </w:tabs>
        <w:spacing w:after="120"/>
        <w:ind w:left="2268" w:hanging="2268"/>
        <w:rPr>
          <w:rFonts w:ascii="Arial" w:hAnsi="Arial" w:cs="Arial"/>
          <w:bCs/>
        </w:rPr>
      </w:pPr>
    </w:p>
    <w:p w14:paraId="5D2E0B2E" w14:textId="77777777" w:rsidR="00B35202" w:rsidRDefault="00B35202" w:rsidP="00B35202">
      <w:pPr>
        <w:spacing w:after="120"/>
        <w:rPr>
          <w:rFonts w:ascii="Arial" w:hAnsi="Arial" w:cs="Arial"/>
          <w:b/>
        </w:rPr>
      </w:pPr>
    </w:p>
    <w:p w14:paraId="4A6FCE42" w14:textId="34048AC2" w:rsidR="00B35202" w:rsidRPr="005C7689" w:rsidRDefault="00B35202" w:rsidP="00B35202">
      <w:pPr>
        <w:spacing w:after="120"/>
        <w:rPr>
          <w:rFonts w:ascii="Arial" w:hAnsi="Arial" w:cs="Arial"/>
          <w:b/>
        </w:rPr>
      </w:pPr>
      <w:r>
        <w:rPr>
          <w:rFonts w:ascii="Arial" w:hAnsi="Arial" w:cs="Arial"/>
          <w:b/>
        </w:rPr>
        <w:t xml:space="preserve">4. Annex – </w:t>
      </w:r>
      <w:r w:rsidR="008B7DB0">
        <w:rPr>
          <w:rFonts w:ascii="Arial" w:hAnsi="Arial" w:cs="Arial"/>
          <w:b/>
        </w:rPr>
        <w:t xml:space="preserve">TSG </w:t>
      </w:r>
      <w:r>
        <w:rPr>
          <w:rFonts w:ascii="Arial" w:hAnsi="Arial" w:cs="Arial"/>
          <w:b/>
        </w:rPr>
        <w:t xml:space="preserve">RAN agreements </w:t>
      </w:r>
      <w:r w:rsidR="008B7DB0">
        <w:rPr>
          <w:rFonts w:ascii="Arial" w:hAnsi="Arial" w:cs="Arial"/>
          <w:b/>
        </w:rPr>
        <w:t>on</w:t>
      </w:r>
      <w:r>
        <w:rPr>
          <w:rFonts w:ascii="Arial" w:hAnsi="Arial" w:cs="Arial"/>
          <w:b/>
        </w:rPr>
        <w:t xml:space="preserve"> the scope of the work in RAN WGs:</w:t>
      </w:r>
    </w:p>
    <w:p w14:paraId="1E37C930" w14:textId="77777777" w:rsidR="00B35202" w:rsidRDefault="00B35202" w:rsidP="004D1605">
      <w:pPr>
        <w:tabs>
          <w:tab w:val="left" w:pos="3119"/>
        </w:tabs>
        <w:spacing w:after="120"/>
        <w:ind w:left="2268" w:hanging="2268"/>
        <w:rPr>
          <w:rFonts w:ascii="Arial" w:hAnsi="Arial" w:cs="Arial"/>
          <w:bCs/>
        </w:rPr>
      </w:pPr>
    </w:p>
    <w:p w14:paraId="34484534"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(RP-172108)</w:t>
      </w:r>
    </w:p>
    <w:p w14:paraId="5393A877"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NR-LTE Coexistence</w:t>
      </w:r>
    </w:p>
    <w:p w14:paraId="62B2CF7F"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00CF15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DL NR-LTE coexistence (only from network perspective) based on 15kHz numerology for control/data</w:t>
      </w:r>
    </w:p>
    <w:p w14:paraId="23676C5D" w14:textId="77777777" w:rsidR="00B35202" w:rsidRPr="00256BFC"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256BFC">
        <w:rPr>
          <w:rFonts w:eastAsia="MS Mincho"/>
          <w:lang w:val="en-US" w:eastAsia="ja-JP"/>
        </w:rPr>
        <w:t>UL NR-LTE coexistence, i.e., UL sharing only from network perspective</w:t>
      </w:r>
    </w:p>
    <w:p w14:paraId="51B501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Single UL Tx according to RAN1 decisions</w:t>
      </w:r>
    </w:p>
    <w:p w14:paraId="27F65030"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proofErr w:type="spellStart"/>
      <w:r w:rsidRPr="004605E1">
        <w:rPr>
          <w:rFonts w:eastAsia="MS Mincho"/>
          <w:lang w:val="fi-FI" w:eastAsia="ja-JP"/>
        </w:rPr>
        <w:t>Solution</w:t>
      </w:r>
      <w:proofErr w:type="spellEnd"/>
      <w:r w:rsidRPr="004605E1">
        <w:rPr>
          <w:rFonts w:eastAsia="MS Mincho"/>
          <w:lang w:val="fi-FI" w:eastAsia="ja-JP"/>
        </w:rPr>
        <w:t xml:space="preserve"> to </w:t>
      </w:r>
      <w:proofErr w:type="spellStart"/>
      <w:r w:rsidRPr="004605E1">
        <w:rPr>
          <w:rFonts w:eastAsia="MS Mincho"/>
          <w:lang w:val="fi-FI" w:eastAsia="ja-JP"/>
        </w:rPr>
        <w:t>harmonic</w:t>
      </w:r>
      <w:proofErr w:type="spellEnd"/>
      <w:r w:rsidRPr="004605E1">
        <w:rPr>
          <w:rFonts w:eastAsia="MS Mincho"/>
          <w:lang w:val="fi-FI" w:eastAsia="ja-JP"/>
        </w:rPr>
        <w:t xml:space="preserve"> </w:t>
      </w:r>
      <w:proofErr w:type="spellStart"/>
      <w:r w:rsidRPr="004605E1">
        <w:rPr>
          <w:rFonts w:eastAsia="MS Mincho"/>
          <w:lang w:val="fi-FI" w:eastAsia="ja-JP"/>
        </w:rPr>
        <w:t>issue</w:t>
      </w:r>
      <w:proofErr w:type="spellEnd"/>
    </w:p>
    <w:p w14:paraId="2F6F185B"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proofErr w:type="spellStart"/>
      <w:r w:rsidRPr="004605E1">
        <w:rPr>
          <w:rFonts w:eastAsia="MS Mincho"/>
          <w:lang w:val="fi-FI" w:eastAsia="ja-JP"/>
        </w:rPr>
        <w:t>Supplementary</w:t>
      </w:r>
      <w:proofErr w:type="spellEnd"/>
      <w:r w:rsidRPr="004605E1">
        <w:rPr>
          <w:rFonts w:eastAsia="MS Mincho"/>
          <w:lang w:val="fi-FI" w:eastAsia="ja-JP"/>
        </w:rPr>
        <w:t xml:space="preserve"> UL</w:t>
      </w:r>
    </w:p>
    <w:p w14:paraId="54062982" w14:textId="77777777" w:rsidR="00B35202" w:rsidRPr="004605E1" w:rsidRDefault="00B35202" w:rsidP="00B35202">
      <w:pPr>
        <w:ind w:leftChars="830" w:left="1660"/>
        <w:contextualSpacing/>
        <w:rPr>
          <w:rFonts w:eastAsia="MS Mincho"/>
          <w:lang w:val="fi-FI" w:eastAsia="ja-JP"/>
        </w:rPr>
      </w:pPr>
    </w:p>
    <w:p w14:paraId="0B7340E3"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5F8D0414"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3FE25546"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68EE2862" w14:textId="77777777" w:rsidR="00B35202" w:rsidRPr="004605E1" w:rsidRDefault="00B35202" w:rsidP="00B35202">
      <w:pPr>
        <w:spacing w:after="240"/>
        <w:ind w:leftChars="413" w:left="826"/>
        <w:jc w:val="both"/>
        <w:rPr>
          <w:rFonts w:eastAsia="MS Mincho"/>
          <w:lang w:eastAsia="ja-JP"/>
        </w:rPr>
      </w:pPr>
      <w:r w:rsidRPr="004605E1">
        <w:rPr>
          <w:rFonts w:eastAsia="MS Mincho"/>
          <w:lang w:eastAsia="ja-JP"/>
        </w:rPr>
        <w:t>No additional work specific to UL sharing from UE perspective in WGs until Dec 2017</w:t>
      </w:r>
    </w:p>
    <w:p w14:paraId="13901C29"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LTE-NR DC</w:t>
      </w:r>
    </w:p>
    <w:p w14:paraId="1A94FB3B"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6076D1F6" w14:textId="77777777" w:rsidR="00B35202" w:rsidRPr="005724ED"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5724ED">
        <w:rPr>
          <w:rFonts w:eastAsia="MS Mincho"/>
          <w:lang w:val="en-US" w:eastAsia="ja-JP"/>
        </w:rPr>
        <w:t xml:space="preserve">Focus on LTE-NR DC for 2UL without NR-LTE </w:t>
      </w:r>
      <w:proofErr w:type="spellStart"/>
      <w:r w:rsidRPr="005724ED">
        <w:rPr>
          <w:rFonts w:eastAsia="MS Mincho"/>
          <w:lang w:val="en-US" w:eastAsia="ja-JP"/>
        </w:rPr>
        <w:t>coxistence</w:t>
      </w:r>
      <w:proofErr w:type="spellEnd"/>
      <w:r w:rsidRPr="005724ED">
        <w:rPr>
          <w:rFonts w:eastAsia="MS Mincho"/>
          <w:lang w:val="en-US" w:eastAsia="ja-JP"/>
        </w:rPr>
        <w:t xml:space="preserve"> and supplementary UL</w:t>
      </w:r>
    </w:p>
    <w:p w14:paraId="4961A7CD" w14:textId="77777777" w:rsidR="00B35202" w:rsidRPr="005724ED"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5724ED">
        <w:rPr>
          <w:rFonts w:eastAsia="MS Mincho"/>
          <w:lang w:val="fi-FI" w:eastAsia="ja-JP"/>
        </w:rPr>
        <w:t>LTE - NR (sub6) DC</w:t>
      </w:r>
    </w:p>
    <w:p w14:paraId="426F50B8" w14:textId="77777777" w:rsidR="00B35202" w:rsidRPr="00256BFC" w:rsidRDefault="00B35202" w:rsidP="00B35202">
      <w:pPr>
        <w:numPr>
          <w:ilvl w:val="4"/>
          <w:numId w:val="17"/>
        </w:numPr>
        <w:overflowPunct w:val="0"/>
        <w:autoSpaceDE w:val="0"/>
        <w:autoSpaceDN w:val="0"/>
        <w:adjustRightInd w:val="0"/>
        <w:spacing w:after="180"/>
        <w:ind w:leftChars="1040" w:left="2500"/>
        <w:contextualSpacing/>
        <w:textAlignment w:val="baseline"/>
        <w:rPr>
          <w:rFonts w:eastAsia="MS Mincho"/>
          <w:b/>
          <w:lang w:val="en-US" w:eastAsia="ja-JP"/>
        </w:rPr>
      </w:pPr>
      <w:r w:rsidRPr="005724ED">
        <w:rPr>
          <w:rFonts w:eastAsia="MS Mincho"/>
          <w:lang w:val="en-US" w:eastAsia="ja-JP"/>
        </w:rPr>
        <w:t>Note that analysis for 2UL can cover that for single UL Tx for RF part (FFS: RRM and demodulation parts)</w:t>
      </w:r>
    </w:p>
    <w:p w14:paraId="4378763D" w14:textId="77777777" w:rsidR="00B35202" w:rsidRPr="004605E1"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4605E1">
        <w:rPr>
          <w:rFonts w:eastAsia="MS Mincho"/>
          <w:lang w:val="fi-FI" w:eastAsia="ja-JP"/>
        </w:rPr>
        <w:t>LTE - NR (</w:t>
      </w:r>
      <w:proofErr w:type="spellStart"/>
      <w:r w:rsidRPr="004605E1">
        <w:rPr>
          <w:rFonts w:eastAsia="MS Mincho"/>
          <w:lang w:val="fi-FI" w:eastAsia="ja-JP"/>
        </w:rPr>
        <w:t>above</w:t>
      </w:r>
      <w:proofErr w:type="spellEnd"/>
      <w:r w:rsidRPr="004605E1">
        <w:rPr>
          <w:rFonts w:eastAsia="MS Mincho"/>
          <w:lang w:val="fi-FI" w:eastAsia="ja-JP"/>
        </w:rPr>
        <w:t xml:space="preserve"> 24) DC</w:t>
      </w:r>
      <w:r w:rsidRPr="004605E1">
        <w:rPr>
          <w:rFonts w:eastAsia="MS Mincho"/>
          <w:lang w:val="fi-FI" w:eastAsia="ja-JP"/>
        </w:rPr>
        <w:br/>
      </w:r>
    </w:p>
    <w:p w14:paraId="7F5CE25D"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296512A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258A71A8"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4B3708B5"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b/>
          <w:lang w:val="en-US" w:eastAsia="ja-JP"/>
        </w:rPr>
      </w:pPr>
      <w:r w:rsidRPr="004605E1">
        <w:rPr>
          <w:rFonts w:eastAsia="MS Mincho"/>
          <w:lang w:eastAsia="ja-JP"/>
        </w:rPr>
        <w:t>No additional work specific to UL sharing from UE perspective in WGs until Dec 2017</w:t>
      </w:r>
    </w:p>
    <w:p w14:paraId="1955D6F5" w14:textId="77777777" w:rsidR="00B35202" w:rsidRDefault="00B35202" w:rsidP="00B35202">
      <w:pPr>
        <w:spacing w:after="240"/>
        <w:jc w:val="both"/>
        <w:rPr>
          <w:rFonts w:ascii="Arial" w:hAnsi="Arial" w:cs="Arial"/>
          <w:iCs/>
          <w:lang w:val="en-US" w:eastAsia="zh-CN"/>
        </w:rPr>
      </w:pPr>
    </w:p>
    <w:p w14:paraId="0D242842"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(RP-172104)</w:t>
      </w:r>
    </w:p>
    <w:p w14:paraId="3F2928BE"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 xml:space="preserve">UL NR-LTE coexistence with UL sharing </w:t>
      </w:r>
      <w:r w:rsidRPr="004605E1">
        <w:rPr>
          <w:rFonts w:eastAsia="MS Mincho"/>
          <w:i/>
          <w:color w:val="FF0000"/>
          <w:kern w:val="24"/>
          <w:lang w:val="en-US" w:eastAsia="zh-CN"/>
        </w:rPr>
        <w:t>only</w:t>
      </w:r>
      <w:r w:rsidRPr="004605E1">
        <w:rPr>
          <w:rFonts w:eastAsia="MS Mincho"/>
          <w:i/>
          <w:color w:val="000000"/>
          <w:kern w:val="24"/>
          <w:lang w:val="en-US" w:eastAsia="zh-CN"/>
        </w:rPr>
        <w:t xml:space="preserve"> from network perspective</w:t>
      </w:r>
    </w:p>
    <w:p w14:paraId="290CE6C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Some UEs transmit NR UL on an NR UL carrier overlapping with the bandwidth of a carrier on which other UEs transmit LTE UL</w:t>
      </w:r>
    </w:p>
    <w:p w14:paraId="6EFE2D64"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 xml:space="preserve">A UE is not configured with a NR UL carrier overlapping with the bandwidth of </w:t>
      </w:r>
      <w:proofErr w:type="gramStart"/>
      <w:r w:rsidRPr="004605E1">
        <w:rPr>
          <w:rFonts w:eastAsia="+mn-ea"/>
          <w:i/>
          <w:color w:val="000000"/>
          <w:kern w:val="24"/>
          <w:lang w:val="en-US" w:eastAsia="zh-CN"/>
        </w:rPr>
        <w:t>a</w:t>
      </w:r>
      <w:proofErr w:type="gramEnd"/>
      <w:r w:rsidRPr="004605E1">
        <w:rPr>
          <w:rFonts w:eastAsia="+mn-ea"/>
          <w:i/>
          <w:color w:val="000000"/>
          <w:kern w:val="24"/>
          <w:lang w:val="en-US" w:eastAsia="zh-CN"/>
        </w:rPr>
        <w:t xml:space="preserve"> LTE component carrier configured for the same UE for LTE operation</w:t>
      </w:r>
    </w:p>
    <w:p w14:paraId="28205203"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UL NR-LTE coexistence with UL sharing from UE perspective</w:t>
      </w:r>
    </w:p>
    <w:p w14:paraId="7AF6FA2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 xml:space="preserve">A UE is configured with a NR UL carrier overlapping with the bandwidth of </w:t>
      </w:r>
      <w:proofErr w:type="gramStart"/>
      <w:r w:rsidRPr="004605E1">
        <w:rPr>
          <w:rFonts w:eastAsia="+mn-ea"/>
          <w:i/>
          <w:color w:val="000000"/>
          <w:kern w:val="24"/>
          <w:lang w:val="en-US" w:eastAsia="zh-CN"/>
        </w:rPr>
        <w:t>a</w:t>
      </w:r>
      <w:proofErr w:type="gramEnd"/>
      <w:r w:rsidRPr="004605E1">
        <w:rPr>
          <w:rFonts w:eastAsia="+mn-ea"/>
          <w:i/>
          <w:color w:val="000000"/>
          <w:kern w:val="24"/>
          <w:lang w:val="en-US" w:eastAsia="zh-CN"/>
        </w:rPr>
        <w:t xml:space="preserve"> LTE component carrier configured for the same UE for LTE operation</w:t>
      </w:r>
    </w:p>
    <w:p w14:paraId="6FE7ABCB" w14:textId="77777777" w:rsidR="00B35202" w:rsidRPr="004605E1" w:rsidRDefault="00B35202" w:rsidP="00B35202">
      <w:pPr>
        <w:numPr>
          <w:ilvl w:val="2"/>
          <w:numId w:val="18"/>
        </w:numPr>
        <w:tabs>
          <w:tab w:val="clear" w:pos="2160"/>
          <w:tab w:val="num" w:pos="1701"/>
        </w:tabs>
        <w:ind w:left="1701" w:hanging="283"/>
        <w:rPr>
          <w:i/>
          <w:lang w:val="en-US" w:eastAsia="zh-CN"/>
        </w:rPr>
      </w:pPr>
      <w:r w:rsidRPr="004605E1">
        <w:rPr>
          <w:rFonts w:eastAsia="+mn-ea"/>
          <w:i/>
          <w:color w:val="000000"/>
          <w:kern w:val="24"/>
          <w:lang w:val="en-US" w:eastAsia="zh-CN"/>
        </w:rPr>
        <w:t>E.g. a UE supports transmitting NR UL and LTE UL within the bandwidth of an LTE component carrier configured for the UE</w:t>
      </w:r>
    </w:p>
    <w:p w14:paraId="25B66DE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LTE/NR UL subcarrier alignment is to be specified by Dec 2017</w:t>
      </w:r>
    </w:p>
    <w:p w14:paraId="62A2103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On-going work in RAN4</w:t>
      </w:r>
    </w:p>
    <w:p w14:paraId="7E546EF5"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Specify support for SUL with and without LTE/NR UL sharing only from network perspective in Rel-15 by Dec 2017</w:t>
      </w:r>
    </w:p>
    <w:p w14:paraId="0831A59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As in current RAN1/RAN4 prioritization list</w:t>
      </w:r>
    </w:p>
    <w:p w14:paraId="73A9693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lastRenderedPageBreak/>
        <w:t>Strive for specifying support for LTE/NR UL sharing from UE perspective in Rel-15 by June 2018</w:t>
      </w:r>
    </w:p>
    <w:p w14:paraId="45355B8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There is no NR L1/L2 impact after Dec 2017</w:t>
      </w:r>
    </w:p>
    <w:p w14:paraId="2B047AD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Completion of standalone NR has priority until June 2018</w:t>
      </w:r>
    </w:p>
    <w:p w14:paraId="65E98A8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No additional work specific to UL sharing from UE perspective in WGs until Dec 2017</w:t>
      </w:r>
    </w:p>
    <w:p w14:paraId="4B7469FC" w14:textId="77777777" w:rsidR="00B35202" w:rsidRPr="005724ED" w:rsidRDefault="00B35202" w:rsidP="00B35202">
      <w:pPr>
        <w:spacing w:after="240"/>
        <w:ind w:left="426"/>
        <w:jc w:val="both"/>
        <w:rPr>
          <w:rFonts w:ascii="Arial" w:hAnsi="Arial" w:cs="Arial"/>
          <w:iCs/>
          <w:lang w:val="en-US" w:eastAsia="zh-CN"/>
        </w:rPr>
      </w:pPr>
    </w:p>
    <w:p w14:paraId="4C12B593"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Agreement:</w:t>
      </w:r>
      <w:r>
        <w:rPr>
          <w:rFonts w:ascii="Arial" w:hAnsi="Arial" w:cs="Arial"/>
          <w:iCs/>
          <w:lang w:val="en-US" w:eastAsia="zh-CN"/>
        </w:rPr>
        <w:t xml:space="preserve"> (RP-180560)</w:t>
      </w:r>
    </w:p>
    <w:p w14:paraId="04CC97C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 perspective agreed definition from RP- 172104: </w:t>
      </w:r>
    </w:p>
    <w:p w14:paraId="37E6884D" w14:textId="77777777" w:rsidR="00B35202" w:rsidRPr="004605E1" w:rsidRDefault="00B35202" w:rsidP="00B35202">
      <w:pPr>
        <w:ind w:left="360" w:firstLine="720"/>
        <w:rPr>
          <w:rFonts w:eastAsia="MS Mincho"/>
          <w:i/>
          <w:color w:val="000000"/>
          <w:kern w:val="24"/>
          <w:lang w:val="en-US" w:eastAsia="zh-CN"/>
        </w:rPr>
      </w:pPr>
      <w:r w:rsidRPr="004605E1">
        <w:rPr>
          <w:rFonts w:eastAsia="MS Mincho"/>
          <w:i/>
          <w:color w:val="000000"/>
          <w:kern w:val="24"/>
          <w:lang w:val="en-US" w:eastAsia="zh-CN"/>
        </w:rPr>
        <w:t>UL NR-LTE coexistence with UL sharing from UE perspective</w:t>
      </w:r>
    </w:p>
    <w:p w14:paraId="2207CCDD"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 xml:space="preserve">A UE is configured with a NR UL carrier overlapping with the bandwidth of </w:t>
      </w:r>
      <w:proofErr w:type="gramStart"/>
      <w:r w:rsidRPr="004605E1">
        <w:rPr>
          <w:rFonts w:eastAsia="MS Mincho"/>
          <w:i/>
          <w:color w:val="000000"/>
          <w:kern w:val="24"/>
          <w:lang w:val="en-US" w:eastAsia="zh-CN"/>
        </w:rPr>
        <w:t>a</w:t>
      </w:r>
      <w:proofErr w:type="gramEnd"/>
      <w:r w:rsidRPr="004605E1">
        <w:rPr>
          <w:rFonts w:eastAsia="MS Mincho"/>
          <w:i/>
          <w:color w:val="000000"/>
          <w:kern w:val="24"/>
          <w:lang w:val="en-US" w:eastAsia="zh-CN"/>
        </w:rPr>
        <w:t xml:space="preserve"> LTE component carrier configured for the same UE for LTE operation</w:t>
      </w:r>
    </w:p>
    <w:p w14:paraId="204AFA6D" w14:textId="77777777" w:rsidR="00B35202" w:rsidRPr="004605E1" w:rsidRDefault="00B35202" w:rsidP="00B35202">
      <w:pPr>
        <w:numPr>
          <w:ilvl w:val="2"/>
          <w:numId w:val="18"/>
        </w:numPr>
        <w:tabs>
          <w:tab w:val="clear" w:pos="2160"/>
          <w:tab w:val="num" w:pos="1843"/>
        </w:tabs>
        <w:ind w:left="1843"/>
        <w:rPr>
          <w:rFonts w:eastAsia="MS Mincho"/>
          <w:i/>
          <w:color w:val="000000"/>
          <w:kern w:val="24"/>
          <w:lang w:val="en-US" w:eastAsia="zh-CN"/>
        </w:rPr>
      </w:pPr>
      <w:r w:rsidRPr="004605E1">
        <w:rPr>
          <w:rFonts w:eastAsia="MS Mincho"/>
          <w:i/>
          <w:color w:val="000000"/>
          <w:kern w:val="24"/>
          <w:lang w:val="en-US" w:eastAsia="zh-CN"/>
        </w:rPr>
        <w:t>E.g. a UE supports transmitting NR UL and LTE UL within the bandwidth of an LTE component carrier configured for the UE</w:t>
      </w:r>
    </w:p>
    <w:p w14:paraId="7775EDA7"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RAN4 requirements perspective </w:t>
      </w:r>
    </w:p>
    <w:p w14:paraId="022B198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ULSUP is applicable only to LTE/NR DC combinations including SUL bands, (as in able 8b in R4-1802135)</w:t>
      </w:r>
    </w:p>
    <w:p w14:paraId="4A7E2AD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Intra-band LTE/NR DC without SUL band is not a case of ULSUP in current RAN4 work</w:t>
      </w:r>
    </w:p>
    <w:p w14:paraId="653DCD0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is in scope of Rel-15 NR WI targeting June 2018 completion</w:t>
      </w:r>
    </w:p>
    <w:p w14:paraId="0EEE5C82"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NR Standalone and leftover from NR December drop have higher priority than ULSUP with SUL band</w:t>
      </w:r>
    </w:p>
    <w:p w14:paraId="695FA318"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In Q2 2018, RAN4 will setup the agenda item for ULSUP with SUL band with following sub agenda items. </w:t>
      </w:r>
    </w:p>
    <w:p w14:paraId="1500AE9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TDM based ULSUP with SUL bands</w:t>
      </w:r>
    </w:p>
    <w:p w14:paraId="56363BF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 xml:space="preserve">FDM based ULSUP with SUL bands </w:t>
      </w:r>
    </w:p>
    <w:p w14:paraId="79A6F7D3"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relative contributions will be only discussed under these above agenda items</w:t>
      </w:r>
    </w:p>
    <w:p w14:paraId="157E40FB" w14:textId="77777777" w:rsidR="00B35202" w:rsidRPr="005724ED" w:rsidRDefault="00B35202" w:rsidP="00B35202">
      <w:pPr>
        <w:spacing w:after="240"/>
        <w:ind w:left="426"/>
        <w:jc w:val="both"/>
        <w:rPr>
          <w:rFonts w:ascii="Arial" w:hAnsi="Arial" w:cs="Arial"/>
          <w:iCs/>
          <w:lang w:val="en-US" w:eastAsia="zh-CN"/>
        </w:rPr>
      </w:pPr>
    </w:p>
    <w:p w14:paraId="1E260987" w14:textId="77777777" w:rsidR="00B35202" w:rsidRDefault="00B35202" w:rsidP="004D1605">
      <w:pPr>
        <w:tabs>
          <w:tab w:val="left" w:pos="3119"/>
        </w:tabs>
        <w:spacing w:after="120"/>
        <w:ind w:left="2268" w:hanging="2268"/>
        <w:rPr>
          <w:rFonts w:ascii="Arial" w:hAnsi="Arial" w:cs="Arial"/>
          <w:bCs/>
        </w:rPr>
      </w:pPr>
    </w:p>
    <w:sectPr w:rsidR="00B352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6E017" w14:textId="77777777" w:rsidR="002602C0" w:rsidRDefault="002602C0">
      <w:r>
        <w:separator/>
      </w:r>
    </w:p>
  </w:endnote>
  <w:endnote w:type="continuationSeparator" w:id="0">
    <w:p w14:paraId="0487837E" w14:textId="77777777" w:rsidR="002602C0" w:rsidRDefault="0026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7DD31" w14:textId="77777777" w:rsidR="002602C0" w:rsidRDefault="002602C0">
      <w:r>
        <w:separator/>
      </w:r>
    </w:p>
  </w:footnote>
  <w:footnote w:type="continuationSeparator" w:id="0">
    <w:p w14:paraId="2C52223A" w14:textId="77777777" w:rsidR="002602C0" w:rsidRDefault="00260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5666"/>
    <w:multiLevelType w:val="hybridMultilevel"/>
    <w:tmpl w:val="85A6D33C"/>
    <w:lvl w:ilvl="0" w:tplc="9B7EBD4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D01EF4"/>
    <w:multiLevelType w:val="hybridMultilevel"/>
    <w:tmpl w:val="5AD889E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563B59"/>
    <w:multiLevelType w:val="hybridMultilevel"/>
    <w:tmpl w:val="1458D5CA"/>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7D7424"/>
    <w:multiLevelType w:val="hybridMultilevel"/>
    <w:tmpl w:val="BF886168"/>
    <w:lvl w:ilvl="0" w:tplc="27C40044">
      <w:start w:val="1"/>
      <w:numFmt w:val="bullet"/>
      <w:lvlText w:val="•"/>
      <w:lvlJc w:val="left"/>
      <w:pPr>
        <w:tabs>
          <w:tab w:val="num" w:pos="720"/>
        </w:tabs>
        <w:ind w:left="720" w:hanging="360"/>
      </w:pPr>
      <w:rPr>
        <w:rFonts w:ascii="Arial" w:hAnsi="Arial" w:hint="default"/>
      </w:rPr>
    </w:lvl>
    <w:lvl w:ilvl="1" w:tplc="AEE04B90">
      <w:start w:val="1"/>
      <w:numFmt w:val="bullet"/>
      <w:lvlText w:val="•"/>
      <w:lvlJc w:val="left"/>
      <w:pPr>
        <w:tabs>
          <w:tab w:val="num" w:pos="1440"/>
        </w:tabs>
        <w:ind w:left="1440" w:hanging="360"/>
      </w:pPr>
      <w:rPr>
        <w:rFonts w:ascii="Arial" w:hAnsi="Arial" w:hint="default"/>
      </w:rPr>
    </w:lvl>
    <w:lvl w:ilvl="2" w:tplc="50543C8E">
      <w:start w:val="1"/>
      <w:numFmt w:val="bullet"/>
      <w:lvlText w:val="•"/>
      <w:lvlJc w:val="left"/>
      <w:pPr>
        <w:tabs>
          <w:tab w:val="num" w:pos="2160"/>
        </w:tabs>
        <w:ind w:left="2160" w:hanging="360"/>
      </w:pPr>
      <w:rPr>
        <w:rFonts w:ascii="Arial" w:hAnsi="Arial" w:hint="default"/>
      </w:rPr>
    </w:lvl>
    <w:lvl w:ilvl="3" w:tplc="80EECBC6">
      <w:numFmt w:val="bullet"/>
      <w:lvlText w:val="–"/>
      <w:lvlJc w:val="left"/>
      <w:pPr>
        <w:tabs>
          <w:tab w:val="num" w:pos="2880"/>
        </w:tabs>
        <w:ind w:left="2880" w:hanging="360"/>
      </w:pPr>
      <w:rPr>
        <w:rFonts w:ascii="Arial" w:hAnsi="Arial" w:hint="default"/>
      </w:rPr>
    </w:lvl>
    <w:lvl w:ilvl="4" w:tplc="18F284FC" w:tentative="1">
      <w:start w:val="1"/>
      <w:numFmt w:val="bullet"/>
      <w:lvlText w:val="•"/>
      <w:lvlJc w:val="left"/>
      <w:pPr>
        <w:tabs>
          <w:tab w:val="num" w:pos="3600"/>
        </w:tabs>
        <w:ind w:left="3600" w:hanging="360"/>
      </w:pPr>
      <w:rPr>
        <w:rFonts w:ascii="Arial" w:hAnsi="Arial" w:hint="default"/>
      </w:rPr>
    </w:lvl>
    <w:lvl w:ilvl="5" w:tplc="3FAE4E9E" w:tentative="1">
      <w:start w:val="1"/>
      <w:numFmt w:val="bullet"/>
      <w:lvlText w:val="•"/>
      <w:lvlJc w:val="left"/>
      <w:pPr>
        <w:tabs>
          <w:tab w:val="num" w:pos="4320"/>
        </w:tabs>
        <w:ind w:left="4320" w:hanging="360"/>
      </w:pPr>
      <w:rPr>
        <w:rFonts w:ascii="Arial" w:hAnsi="Arial" w:hint="default"/>
      </w:rPr>
    </w:lvl>
    <w:lvl w:ilvl="6" w:tplc="9A900F92" w:tentative="1">
      <w:start w:val="1"/>
      <w:numFmt w:val="bullet"/>
      <w:lvlText w:val="•"/>
      <w:lvlJc w:val="left"/>
      <w:pPr>
        <w:tabs>
          <w:tab w:val="num" w:pos="5040"/>
        </w:tabs>
        <w:ind w:left="5040" w:hanging="360"/>
      </w:pPr>
      <w:rPr>
        <w:rFonts w:ascii="Arial" w:hAnsi="Arial" w:hint="default"/>
      </w:rPr>
    </w:lvl>
    <w:lvl w:ilvl="7" w:tplc="91EA4FB0" w:tentative="1">
      <w:start w:val="1"/>
      <w:numFmt w:val="bullet"/>
      <w:lvlText w:val="•"/>
      <w:lvlJc w:val="left"/>
      <w:pPr>
        <w:tabs>
          <w:tab w:val="num" w:pos="5760"/>
        </w:tabs>
        <w:ind w:left="5760" w:hanging="360"/>
      </w:pPr>
      <w:rPr>
        <w:rFonts w:ascii="Arial" w:hAnsi="Arial" w:hint="default"/>
      </w:rPr>
    </w:lvl>
    <w:lvl w:ilvl="8" w:tplc="9A8A09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B1E2D"/>
    <w:multiLevelType w:val="hybridMultilevel"/>
    <w:tmpl w:val="CF24461C"/>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AB3411"/>
    <w:multiLevelType w:val="hybridMultilevel"/>
    <w:tmpl w:val="623A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8"/>
  </w:num>
  <w:num w:numId="9">
    <w:abstractNumId w:val="11"/>
  </w:num>
  <w:num w:numId="10">
    <w:abstractNumId w:val="9"/>
  </w:num>
  <w:num w:numId="11">
    <w:abstractNumId w:val="6"/>
  </w:num>
  <w:num w:numId="12">
    <w:abstractNumId w:val="19"/>
  </w:num>
  <w:num w:numId="13">
    <w:abstractNumId w:val="8"/>
  </w:num>
  <w:num w:numId="14">
    <w:abstractNumId w:val="14"/>
  </w:num>
  <w:num w:numId="15">
    <w:abstractNumId w:val="0"/>
  </w:num>
  <w:num w:numId="16">
    <w:abstractNumId w:val="12"/>
  </w:num>
  <w:num w:numId="17">
    <w:abstractNumId w:val="13"/>
  </w:num>
  <w:num w:numId="18">
    <w:abstractNumId w:val="10"/>
  </w:num>
  <w:num w:numId="19">
    <w:abstractNumId w:val="5"/>
  </w:num>
  <w:num w:numId="20">
    <w:abstractNumId w:val="2"/>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2364"/>
    <w:rsid w:val="001063EA"/>
    <w:rsid w:val="001576BB"/>
    <w:rsid w:val="00167EC6"/>
    <w:rsid w:val="00177DA3"/>
    <w:rsid w:val="00193164"/>
    <w:rsid w:val="001A7080"/>
    <w:rsid w:val="001B008D"/>
    <w:rsid w:val="001D2108"/>
    <w:rsid w:val="001E6FCA"/>
    <w:rsid w:val="001F5D39"/>
    <w:rsid w:val="001F6183"/>
    <w:rsid w:val="00214CC5"/>
    <w:rsid w:val="00220708"/>
    <w:rsid w:val="00222A4F"/>
    <w:rsid w:val="0024067D"/>
    <w:rsid w:val="00247BE7"/>
    <w:rsid w:val="00254238"/>
    <w:rsid w:val="002602C0"/>
    <w:rsid w:val="0026109B"/>
    <w:rsid w:val="00261C7D"/>
    <w:rsid w:val="002633C1"/>
    <w:rsid w:val="00270DF0"/>
    <w:rsid w:val="0027716B"/>
    <w:rsid w:val="00282DA9"/>
    <w:rsid w:val="00283A52"/>
    <w:rsid w:val="002A0310"/>
    <w:rsid w:val="002A542F"/>
    <w:rsid w:val="002A6E4C"/>
    <w:rsid w:val="002B0AED"/>
    <w:rsid w:val="002D095E"/>
    <w:rsid w:val="0030138D"/>
    <w:rsid w:val="0030356A"/>
    <w:rsid w:val="003100EB"/>
    <w:rsid w:val="0032096D"/>
    <w:rsid w:val="003221D8"/>
    <w:rsid w:val="00324418"/>
    <w:rsid w:val="00325E01"/>
    <w:rsid w:val="0032760F"/>
    <w:rsid w:val="003277A4"/>
    <w:rsid w:val="003341F9"/>
    <w:rsid w:val="00335FAB"/>
    <w:rsid w:val="003632EE"/>
    <w:rsid w:val="00367970"/>
    <w:rsid w:val="003807F6"/>
    <w:rsid w:val="00385529"/>
    <w:rsid w:val="00390712"/>
    <w:rsid w:val="003945F8"/>
    <w:rsid w:val="003946BE"/>
    <w:rsid w:val="003B117D"/>
    <w:rsid w:val="003C3065"/>
    <w:rsid w:val="003C44A3"/>
    <w:rsid w:val="003C4B48"/>
    <w:rsid w:val="003D6650"/>
    <w:rsid w:val="003E0EE0"/>
    <w:rsid w:val="003E2ED7"/>
    <w:rsid w:val="004120BA"/>
    <w:rsid w:val="004147C2"/>
    <w:rsid w:val="00417F6D"/>
    <w:rsid w:val="0042261E"/>
    <w:rsid w:val="00423F33"/>
    <w:rsid w:val="00430BA0"/>
    <w:rsid w:val="00437F70"/>
    <w:rsid w:val="00452B0D"/>
    <w:rsid w:val="00462054"/>
    <w:rsid w:val="00463675"/>
    <w:rsid w:val="00472D1E"/>
    <w:rsid w:val="00496D50"/>
    <w:rsid w:val="004A1632"/>
    <w:rsid w:val="004A285E"/>
    <w:rsid w:val="004C6071"/>
    <w:rsid w:val="004D1605"/>
    <w:rsid w:val="004E2356"/>
    <w:rsid w:val="004E51A5"/>
    <w:rsid w:val="004F3AA9"/>
    <w:rsid w:val="0050174F"/>
    <w:rsid w:val="00501F64"/>
    <w:rsid w:val="0050447C"/>
    <w:rsid w:val="00505F59"/>
    <w:rsid w:val="005218A0"/>
    <w:rsid w:val="005219FE"/>
    <w:rsid w:val="005331DF"/>
    <w:rsid w:val="00557D6F"/>
    <w:rsid w:val="005667C9"/>
    <w:rsid w:val="00586564"/>
    <w:rsid w:val="00591547"/>
    <w:rsid w:val="005921A6"/>
    <w:rsid w:val="00594DA5"/>
    <w:rsid w:val="005C373E"/>
    <w:rsid w:val="005C7689"/>
    <w:rsid w:val="005D1733"/>
    <w:rsid w:val="005D558D"/>
    <w:rsid w:val="005D5906"/>
    <w:rsid w:val="005E5180"/>
    <w:rsid w:val="005E5DB4"/>
    <w:rsid w:val="005F7506"/>
    <w:rsid w:val="005F7637"/>
    <w:rsid w:val="00607B3B"/>
    <w:rsid w:val="0062143D"/>
    <w:rsid w:val="00633743"/>
    <w:rsid w:val="0063606E"/>
    <w:rsid w:val="00642CAC"/>
    <w:rsid w:val="006431E6"/>
    <w:rsid w:val="00644C67"/>
    <w:rsid w:val="00646354"/>
    <w:rsid w:val="0065183D"/>
    <w:rsid w:val="0065367D"/>
    <w:rsid w:val="006544E2"/>
    <w:rsid w:val="00656AF0"/>
    <w:rsid w:val="00664C2A"/>
    <w:rsid w:val="00667F66"/>
    <w:rsid w:val="0067303B"/>
    <w:rsid w:val="00677087"/>
    <w:rsid w:val="006775AB"/>
    <w:rsid w:val="00681DA7"/>
    <w:rsid w:val="006A473B"/>
    <w:rsid w:val="006D1114"/>
    <w:rsid w:val="006F7688"/>
    <w:rsid w:val="00701A2B"/>
    <w:rsid w:val="00701B1C"/>
    <w:rsid w:val="007822EF"/>
    <w:rsid w:val="00787EAC"/>
    <w:rsid w:val="007A671D"/>
    <w:rsid w:val="007D4E17"/>
    <w:rsid w:val="007F293C"/>
    <w:rsid w:val="007F4E4D"/>
    <w:rsid w:val="00806E3A"/>
    <w:rsid w:val="008079EE"/>
    <w:rsid w:val="0084501F"/>
    <w:rsid w:val="00845F63"/>
    <w:rsid w:val="0084604E"/>
    <w:rsid w:val="008511F5"/>
    <w:rsid w:val="0085183B"/>
    <w:rsid w:val="0085578D"/>
    <w:rsid w:val="008612CD"/>
    <w:rsid w:val="00865ED7"/>
    <w:rsid w:val="00873297"/>
    <w:rsid w:val="008809A5"/>
    <w:rsid w:val="00881F64"/>
    <w:rsid w:val="008831D9"/>
    <w:rsid w:val="00883DB4"/>
    <w:rsid w:val="008B7DB0"/>
    <w:rsid w:val="008C1D20"/>
    <w:rsid w:val="008D1B54"/>
    <w:rsid w:val="008F358E"/>
    <w:rsid w:val="008F581B"/>
    <w:rsid w:val="00907392"/>
    <w:rsid w:val="00912FD3"/>
    <w:rsid w:val="00916145"/>
    <w:rsid w:val="00923E7C"/>
    <w:rsid w:val="009403B2"/>
    <w:rsid w:val="00941A45"/>
    <w:rsid w:val="00950DE4"/>
    <w:rsid w:val="00952417"/>
    <w:rsid w:val="00955602"/>
    <w:rsid w:val="0096221E"/>
    <w:rsid w:val="009763E4"/>
    <w:rsid w:val="009778A3"/>
    <w:rsid w:val="00984727"/>
    <w:rsid w:val="009B2EB9"/>
    <w:rsid w:val="009D31A3"/>
    <w:rsid w:val="009D594E"/>
    <w:rsid w:val="009E27E2"/>
    <w:rsid w:val="009E5C7E"/>
    <w:rsid w:val="00A1282E"/>
    <w:rsid w:val="00A12ABA"/>
    <w:rsid w:val="00A1443B"/>
    <w:rsid w:val="00A151A0"/>
    <w:rsid w:val="00A16B26"/>
    <w:rsid w:val="00A245CA"/>
    <w:rsid w:val="00A3454C"/>
    <w:rsid w:val="00A3779B"/>
    <w:rsid w:val="00A40236"/>
    <w:rsid w:val="00A45BD7"/>
    <w:rsid w:val="00A56D45"/>
    <w:rsid w:val="00A56EC8"/>
    <w:rsid w:val="00A57E04"/>
    <w:rsid w:val="00A6412A"/>
    <w:rsid w:val="00A64F79"/>
    <w:rsid w:val="00A65DE1"/>
    <w:rsid w:val="00A8524C"/>
    <w:rsid w:val="00AA637B"/>
    <w:rsid w:val="00AC4A54"/>
    <w:rsid w:val="00AD1DE5"/>
    <w:rsid w:val="00AE5661"/>
    <w:rsid w:val="00AF135B"/>
    <w:rsid w:val="00AF3FA4"/>
    <w:rsid w:val="00B01ED7"/>
    <w:rsid w:val="00B204AF"/>
    <w:rsid w:val="00B255A7"/>
    <w:rsid w:val="00B25881"/>
    <w:rsid w:val="00B32530"/>
    <w:rsid w:val="00B33A9B"/>
    <w:rsid w:val="00B35202"/>
    <w:rsid w:val="00B544D2"/>
    <w:rsid w:val="00B5648B"/>
    <w:rsid w:val="00B66CC7"/>
    <w:rsid w:val="00B70E77"/>
    <w:rsid w:val="00B75AB3"/>
    <w:rsid w:val="00BB01AC"/>
    <w:rsid w:val="00BB0CAD"/>
    <w:rsid w:val="00BD604A"/>
    <w:rsid w:val="00BE1136"/>
    <w:rsid w:val="00BE1F84"/>
    <w:rsid w:val="00BE7CC9"/>
    <w:rsid w:val="00BF32CE"/>
    <w:rsid w:val="00C021DE"/>
    <w:rsid w:val="00C13214"/>
    <w:rsid w:val="00C145C1"/>
    <w:rsid w:val="00C231ED"/>
    <w:rsid w:val="00C2354D"/>
    <w:rsid w:val="00C329BA"/>
    <w:rsid w:val="00C3685C"/>
    <w:rsid w:val="00C5115E"/>
    <w:rsid w:val="00C51C0C"/>
    <w:rsid w:val="00C52AEB"/>
    <w:rsid w:val="00C53DB7"/>
    <w:rsid w:val="00C64D34"/>
    <w:rsid w:val="00C750D8"/>
    <w:rsid w:val="00CB69F0"/>
    <w:rsid w:val="00D0741F"/>
    <w:rsid w:val="00D20064"/>
    <w:rsid w:val="00D24338"/>
    <w:rsid w:val="00D40BEF"/>
    <w:rsid w:val="00D42DF3"/>
    <w:rsid w:val="00D43AA8"/>
    <w:rsid w:val="00D56C20"/>
    <w:rsid w:val="00D64D96"/>
    <w:rsid w:val="00D65530"/>
    <w:rsid w:val="00D74A1C"/>
    <w:rsid w:val="00D75660"/>
    <w:rsid w:val="00D876BF"/>
    <w:rsid w:val="00D933BC"/>
    <w:rsid w:val="00DA1DCE"/>
    <w:rsid w:val="00DB5B66"/>
    <w:rsid w:val="00DC6C67"/>
    <w:rsid w:val="00DE7C20"/>
    <w:rsid w:val="00DF7F04"/>
    <w:rsid w:val="00E318AD"/>
    <w:rsid w:val="00E5415D"/>
    <w:rsid w:val="00E57BA2"/>
    <w:rsid w:val="00E7017E"/>
    <w:rsid w:val="00E73827"/>
    <w:rsid w:val="00E833F7"/>
    <w:rsid w:val="00E83F3C"/>
    <w:rsid w:val="00EC2503"/>
    <w:rsid w:val="00EC33D7"/>
    <w:rsid w:val="00ED133C"/>
    <w:rsid w:val="00ED4B16"/>
    <w:rsid w:val="00EE62A7"/>
    <w:rsid w:val="00F03D9B"/>
    <w:rsid w:val="00F11820"/>
    <w:rsid w:val="00F17587"/>
    <w:rsid w:val="00F23FFC"/>
    <w:rsid w:val="00F54C66"/>
    <w:rsid w:val="00F54DE0"/>
    <w:rsid w:val="00F73909"/>
    <w:rsid w:val="00F84C15"/>
    <w:rsid w:val="00F9663B"/>
    <w:rsid w:val="00FA5496"/>
    <w:rsid w:val="00FD3596"/>
    <w:rsid w:val="00FE01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35202"/>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35202"/>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CB69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B69F0"/>
    <w:rPr>
      <w:rFonts w:ascii="Arial" w:hAnsi="Arial"/>
      <w:lang w:val="en-GB"/>
    </w:rPr>
  </w:style>
  <w:style w:type="character" w:customStyle="1" w:styleId="CommentSubjectChar">
    <w:name w:val="Comment Subject Char"/>
    <w:basedOn w:val="CommentTextChar"/>
    <w:link w:val="CommentSubject"/>
    <w:uiPriority w:val="99"/>
    <w:semiHidden/>
    <w:rsid w:val="00CB69F0"/>
    <w:rPr>
      <w:rFonts w:ascii="Arial" w:hAnsi="Arial"/>
      <w:b/>
      <w:bCs/>
      <w:lang w:val="en-GB"/>
    </w:rPr>
  </w:style>
  <w:style w:type="paragraph" w:styleId="Revision">
    <w:name w:val="Revision"/>
    <w:hidden/>
    <w:uiPriority w:val="99"/>
    <w:semiHidden/>
    <w:rsid w:val="00CB69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2599646">
      <w:bodyDiv w:val="1"/>
      <w:marLeft w:val="0"/>
      <w:marRight w:val="0"/>
      <w:marTop w:val="0"/>
      <w:marBottom w:val="0"/>
      <w:divBdr>
        <w:top w:val="none" w:sz="0" w:space="0" w:color="auto"/>
        <w:left w:val="none" w:sz="0" w:space="0" w:color="auto"/>
        <w:bottom w:val="none" w:sz="0" w:space="0" w:color="auto"/>
        <w:right w:val="none" w:sz="0" w:space="0" w:color="auto"/>
      </w:divBdr>
    </w:div>
    <w:div w:id="195895135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5AIRPNAIUNRU-1830940522-5586</_dlc_DocId>
    <_dlc_DocIdUrl xmlns="71c5aaf6-e6ce-465b-b873-5148d2a4c105">
      <Url>https://nokia.sharepoint.com/sites/c5g/5gradio/_layouts/15/DocIdRedir.aspx?ID=5AIRPNAIUNRU-1830940522-5586</Url>
      <Description>5AIRPNAIUNRU-1830940522-5586</Description>
    </_dlc_DocIdUrl>
  </documentManagement>
</p:properties>
</file>

<file path=customXml/itemProps1.xml><?xml version="1.0" encoding="utf-8"?>
<ds:datastoreItem xmlns:ds="http://schemas.openxmlformats.org/officeDocument/2006/customXml" ds:itemID="{601EDDE6-13D3-437E-B820-EAB43D943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5</cp:revision>
  <cp:lastPrinted>2002-04-23T00:10:00Z</cp:lastPrinted>
  <dcterms:created xsi:type="dcterms:W3CDTF">2019-05-02T12:10:00Z</dcterms:created>
  <dcterms:modified xsi:type="dcterms:W3CDTF">2019-05-16T17:12:00Z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e0eb1836-4247-47a9-a52e-5f327ebfc605</vt:lpwstr>
  </property>
  <property fmtid="{D5CDD505-2E9C-101B-9397-08002B2CF9AE}" pid="4" name="_2015_ms_pID_725343">
    <vt:lpwstr>(2)2NlooX+S7C3t9A7amnu0vlKwfP55sMGpellDbB40I0bxGVS48n+Ez7FwIPG24Wk687p02r7K
sn0hcgZrehjrGRW8xDw5YTIRW+mGhalU+I8a3UcRhhp0CIrcKaBEWKmnpKigzPrcb78SSp3d
LNfazyFlurcV+49+/PGXepAuiUv5+SHNQ7f4g4s1dEtYYybTY80aH/w/+Zo0xEDJdDDhRiwc
OTsaVRxEdAz1sWmkyI</vt:lpwstr>
  </property>
  <property fmtid="{D5CDD505-2E9C-101B-9397-08002B2CF9AE}" pid="5" name="_2015_ms_pID_7253431">
    <vt:lpwstr>njMX9DSeA139k36OLyR+bRW/S4uF/RcLrVN+zhrvka3dDNeSNdhYw/
n3d7crp/20fki0tnvu7vVQhHoOW8K654aU9mwVnRC1cdEHLrRLfv8dbNxvTvFCfwXSFz2jPy
qf4ZzvVPo1aGz0UekcQwHtI5VXs0v8sLL+dh0m2cA9hjADLul96ChpyTyDvFKQ7wt7Q=</vt:lpwstr>
  </property>
</Properties>
</file>